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AGENCY DIRECTOR CONFLICT-FREE CASE MANAGEMENT ATTESTATION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Center for Medicare and Medicaid (CMS), under 42 CFR 431.301(c)(1)(vi), requires states to operate Conflict-Free Case Management.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Attestation/Conflict of Interest Exception Application for Home and Community-Based Waiver Services by agency owner/administrator of the following: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agency has administrative separation of supervision of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and Personal Attendant services.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attached organization chart shows two separate supervisors, one for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and one for Personal Attendant services and/or demonstrates separation of these services.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members are offered choice for Personal Attendant services between and among available service providers.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members are not limited to Personal Attendant services provided only by this agency.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members are given conflict-free choice of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anagers in accordance with  the agency’s business structure.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Disputes between </w:t>
      </w:r>
      <w:r w:rsidDel="00000000" w:rsidR="00000000" w:rsidRPr="00000000">
        <w:rPr>
          <w:sz w:val="24"/>
          <w:szCs w:val="24"/>
          <w:rtl w:val="0"/>
        </w:rPr>
        <w:t xml:space="preserve">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and Personal Attendant service units are resolved.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are free to choose or deny Personal Attendant services without influence from the internal agency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anager and Personal Attendant service staff.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choose how, when, and where to receive their approved Personal Attendant services, in accordance with CMS Settings Rule guidelines.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Members are free to communicate grievance(s) regarding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ase </w:t>
      </w: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anagement and/or  Personal Attendant services delivered by the agency.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grievance/complaint procedure is clear and understood by members and legal representatives, if applicable.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Grievances/complaints are resolved in a timely manner.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Definition:</w:t>
      </w:r>
      <w:r w:rsidDel="00000000" w:rsidR="00000000" w:rsidRPr="00000000">
        <w:rPr>
          <w:sz w:val="24"/>
          <w:szCs w:val="24"/>
          <w:rtl w:val="0"/>
        </w:rPr>
        <w:t xml:space="preserve"> Individuals or entities providing Case Management Services (those who develop a person-centered Service Plan) cannot be: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Related by blood or marriage to the individual or a paid caregiver.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Financially responsible for the individual.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Empowered to make health-related decisions.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Individuals who would benefit financially from service provision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Providers of State Plan Home and Community-Based Services.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that failure to comply with Conflict-Free Case Management requirements may result in adverse action.</w:t>
      </w:r>
    </w:p>
    <w:p w:rsidR="00000000" w:rsidDel="00000000" w:rsidP="00000000" w:rsidRDefault="00000000" w:rsidRPr="00000000" w14:paraId="00000018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CFCM Agency Name: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CFCM Director Signature:</w:t>
      </w:r>
      <w:r w:rsidDel="00000000" w:rsidR="00000000" w:rsidRPr="00000000">
        <w:rPr>
          <w:sz w:val="24"/>
          <w:szCs w:val="24"/>
          <w:rtl w:val="0"/>
        </w:rPr>
        <w:t xml:space="preserve"> _____________________________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sz w:val="24"/>
          <w:szCs w:val="24"/>
          <w:rtl w:val="0"/>
        </w:rPr>
        <w:t xml:space="preserve"> ____________________</w:t>
      </w:r>
    </w:p>
    <w:sectPr>
      <w:headerReference r:id="rId7" w:type="default"/>
      <w:footerReference r:id="rId8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          </w:t>
    </w:r>
    <w:r w:rsidDel="00000000" w:rsidR="00000000" w:rsidRPr="00000000">
      <w:rPr/>
      <w:drawing>
        <wp:inline distB="114300" distT="114300" distL="114300" distR="114300">
          <wp:extent cx="1247775" cy="4937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775" cy="4937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May 1,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2023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447357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1"/>
                              <w:strike w:val="0"/>
                              <w:color w:val="ffffff"/>
                              <w:sz w:val="28"/>
                              <w:vertAlign w:val="baseline"/>
                            </w:rPr>
                            <w:t xml:space="preserve">AGED AND DISABLED WAIVER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447357</wp:posOffset>
              </wp:positionV>
              <wp:extent cx="5959564" cy="279982"/>
              <wp:effectExtent b="0" l="0" r="0" t="0"/>
              <wp:wrapSquare wrapText="bothSides" distB="0" distT="0" distL="118745" distR="118745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59564" cy="2799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1bBv7XB1u5L2n+ondF2BW3Sbg==">CgMxLjAyCGguZ2pkZ3hzOAByITFuQjg5dU1JeEtFZGNTTXRtSGdjOHI3ZG5sYkFSUzQySQ==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